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30867" w:rsidP="002B2FBE">
            <w:pPr>
              <w:rPr>
                <w:b/>
              </w:rPr>
            </w:pPr>
            <w:r>
              <w:rPr>
                <w:rStyle w:val="Firstpagetablebold"/>
              </w:rPr>
              <w:t>9</w:t>
            </w:r>
            <w:r w:rsidR="002B2FBE">
              <w:rPr>
                <w:rStyle w:val="Firstpagetablebold"/>
              </w:rPr>
              <w:t xml:space="preserve"> February 2017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E68C6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Planning and Regulatory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165365" w:rsidP="001D209A">
            <w:pPr>
              <w:rPr>
                <w:rStyle w:val="Firstpagetablebold"/>
              </w:rPr>
            </w:pPr>
            <w:r w:rsidRPr="00165365">
              <w:rPr>
                <w:rStyle w:val="Firstpagetablebold"/>
              </w:rPr>
              <w:t xml:space="preserve">Report on </w:t>
            </w:r>
            <w:r>
              <w:rPr>
                <w:rStyle w:val="Firstpagetablebold"/>
              </w:rPr>
              <w:t xml:space="preserve">the </w:t>
            </w:r>
            <w:r w:rsidRPr="00165365">
              <w:rPr>
                <w:rStyle w:val="Firstpagetablebold"/>
              </w:rPr>
              <w:t xml:space="preserve">Community Infrastructure Levy (Neighbourhood Portion) – Agreeing the </w:t>
            </w:r>
            <w:r w:rsidR="00917018">
              <w:rPr>
                <w:rStyle w:val="Firstpagetablebold"/>
              </w:rPr>
              <w:t xml:space="preserve">expenditure deadline </w:t>
            </w:r>
            <w:r w:rsidR="001D209A">
              <w:rPr>
                <w:rStyle w:val="Firstpagetablebold"/>
              </w:rPr>
              <w:t>for Ward funds</w:t>
            </w:r>
            <w:bookmarkStart w:id="0" w:name="_GoBack"/>
            <w:bookmarkEnd w:id="0"/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1D209A" w:rsidP="004F6D7A">
            <w:r>
              <w:t xml:space="preserve">To agree a deadline of expenditure of payment of the Neighbourhood portion of CIL to Wards (non </w:t>
            </w:r>
            <w:proofErr w:type="spellStart"/>
            <w:r>
              <w:t>parished</w:t>
            </w:r>
            <w:proofErr w:type="spellEnd"/>
            <w:r w:rsidR="00330867">
              <w:t>)</w:t>
            </w:r>
            <w:r>
              <w:t>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1D209A" w:rsidP="001D209A">
            <w:r>
              <w:t>No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232B0" w:rsidP="004F6D7A">
            <w:r>
              <w:t>Cll</w:t>
            </w:r>
            <w:r w:rsidR="00D5547E" w:rsidRPr="001356F1">
              <w:t xml:space="preserve">r </w:t>
            </w:r>
            <w:r>
              <w:t xml:space="preserve">Alex Hollingsworth, </w:t>
            </w:r>
            <w:r w:rsidR="004F6D7A">
              <w:t xml:space="preserve">Planning </w:t>
            </w:r>
            <w:r w:rsidR="00E72D53" w:rsidRPr="00E72D53">
              <w:t>and Regulatory Services</w:t>
            </w:r>
          </w:p>
        </w:tc>
      </w:tr>
      <w:tr w:rsidR="0080749A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4748" w:rsidRDefault="00E24748" w:rsidP="005F7F7E">
            <w:r>
              <w:t>Vibrant and Sustainable Economy</w:t>
            </w:r>
          </w:p>
          <w:p w:rsidR="00E72D53" w:rsidRDefault="00E72D53" w:rsidP="005F7F7E">
            <w:r>
              <w:t>Strong and Active Communities</w:t>
            </w:r>
          </w:p>
          <w:p w:rsidR="0080749A" w:rsidRPr="001356F1" w:rsidRDefault="00E72D53" w:rsidP="005F7F7E">
            <w:r>
              <w:t>A Clean Green Oxford</w:t>
            </w:r>
            <w:r w:rsidR="0080749A" w:rsidRPr="001356F1">
              <w:t>.</w:t>
            </w:r>
          </w:p>
        </w:tc>
      </w:tr>
      <w:tr w:rsidR="00D5547E" w:rsidTr="0080749A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C369C" w:rsidP="005F7F7E">
            <w:r>
              <w:t>None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:rsidR="00864930" w:rsidRPr="00833B94" w:rsidRDefault="004F6D7A" w:rsidP="00864930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>Recommendation</w:t>
            </w:r>
            <w:r w:rsidR="00864930" w:rsidRPr="00833B94">
              <w:rPr>
                <w:rStyle w:val="Firstpagetablebold"/>
                <w:b w:val="0"/>
              </w:rPr>
              <w:t>:</w:t>
            </w:r>
            <w:r>
              <w:rPr>
                <w:rStyle w:val="Firstpagetablebold"/>
                <w:b w:val="0"/>
              </w:rPr>
              <w:t xml:space="preserve"> </w:t>
            </w:r>
            <w:r w:rsidR="00864930" w:rsidRPr="00833B94">
              <w:rPr>
                <w:rStyle w:val="Firstpagetablebold"/>
                <w:b w:val="0"/>
              </w:rPr>
              <w:t>That the City Executive Board resolves to:</w:t>
            </w:r>
          </w:p>
          <w:p w:rsidR="005F7F7E" w:rsidRPr="001D209A" w:rsidRDefault="00864930" w:rsidP="008C77AB">
            <w:pPr>
              <w:rPr>
                <w:rStyle w:val="Firstpagetablebold"/>
                <w:b w:val="0"/>
              </w:rPr>
            </w:pPr>
            <w:r w:rsidRPr="00833B94">
              <w:rPr>
                <w:rStyle w:val="Firstpagetablebold"/>
                <w:b w:val="0"/>
              </w:rPr>
              <w:t>1.</w:t>
            </w:r>
            <w:r w:rsidRPr="00864930">
              <w:rPr>
                <w:rStyle w:val="Firstpagetablebold"/>
              </w:rPr>
              <w:tab/>
            </w:r>
            <w:r w:rsidR="001D209A" w:rsidRPr="004F6D7A">
              <w:rPr>
                <w:rStyle w:val="Firstpagetablebold"/>
              </w:rPr>
              <w:t>Agree</w:t>
            </w:r>
            <w:r w:rsidR="001D209A" w:rsidRPr="001D209A">
              <w:rPr>
                <w:rStyle w:val="Firstpagetablebold"/>
                <w:b w:val="0"/>
              </w:rPr>
              <w:t xml:space="preserve"> an amended expenditure deadline of Neighbourhood CIL funds paid into Ward budgets (non parished) </w:t>
            </w:r>
          </w:p>
          <w:p w:rsidR="00864930" w:rsidRPr="00975B07" w:rsidRDefault="00864930" w:rsidP="00864930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</w:tbl>
    <w:p w:rsidR="00864930" w:rsidRPr="009E51FC" w:rsidRDefault="00864930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4F6D7A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4F6D7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330867" w:rsidP="00330867">
            <w:r>
              <w:t xml:space="preserve">Appendix 1 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8C77AB" w:rsidP="006E128A">
            <w:r>
              <w:t xml:space="preserve"> </w:t>
            </w:r>
            <w:r w:rsidRPr="008C77AB">
              <w:t>Risk Register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 xml:space="preserve">Introduction </w:t>
      </w:r>
    </w:p>
    <w:p w:rsidR="006E128A" w:rsidRDefault="004347C1" w:rsidP="00435C4E">
      <w:pPr>
        <w:pStyle w:val="ListParagraph"/>
      </w:pPr>
      <w:r>
        <w:t>A report to agree</w:t>
      </w:r>
      <w:r w:rsidRPr="004347C1">
        <w:t xml:space="preserve"> the process for spending the Neighbourhood Portion of CIL in the non parished part</w:t>
      </w:r>
      <w:r w:rsidR="003109C4">
        <w:t>s</w:t>
      </w:r>
      <w:r w:rsidRPr="004347C1">
        <w:t xml:space="preserve"> of the City</w:t>
      </w:r>
      <w:r>
        <w:t xml:space="preserve"> was approved at CEB in May</w:t>
      </w:r>
      <w:r w:rsidR="00435C4E">
        <w:t xml:space="preserve"> 2016.  Th</w:t>
      </w:r>
      <w:r w:rsidR="003109C4">
        <w:t>is</w:t>
      </w:r>
      <w:r w:rsidR="00435C4E">
        <w:t xml:space="preserve"> </w:t>
      </w:r>
      <w:r w:rsidR="003109C4">
        <w:t>set out the arrangement whereby any unspent</w:t>
      </w:r>
      <w:r w:rsidR="00C9079F">
        <w:t xml:space="preserve"> </w:t>
      </w:r>
      <w:r w:rsidR="00435C4E" w:rsidRPr="00435C4E">
        <w:t xml:space="preserve">annual ward member </w:t>
      </w:r>
      <w:r w:rsidR="00435C4E">
        <w:t>CIL allocation</w:t>
      </w:r>
      <w:r w:rsidR="006E128A">
        <w:t xml:space="preserve"> </w:t>
      </w:r>
      <w:r w:rsidR="003109C4">
        <w:t>would be</w:t>
      </w:r>
      <w:r w:rsidR="00435C4E">
        <w:t xml:space="preserve"> moved </w:t>
      </w:r>
      <w:r w:rsidR="00435C4E" w:rsidRPr="00435C4E">
        <w:t xml:space="preserve">back to the general </w:t>
      </w:r>
      <w:r w:rsidR="006E128A">
        <w:t xml:space="preserve">pot </w:t>
      </w:r>
      <w:r w:rsidR="00435C4E" w:rsidRPr="00435C4E">
        <w:t>for expenditure by</w:t>
      </w:r>
      <w:r w:rsidR="006E128A">
        <w:t xml:space="preserve"> the Council on the wider range </w:t>
      </w:r>
      <w:r w:rsidR="00435C4E" w:rsidRPr="00435C4E">
        <w:t xml:space="preserve">of </w:t>
      </w:r>
      <w:r w:rsidR="003109C4">
        <w:t xml:space="preserve">CIL </w:t>
      </w:r>
      <w:r w:rsidR="00435C4E" w:rsidRPr="00435C4E">
        <w:t>purposes</w:t>
      </w:r>
      <w:r w:rsidR="003109C4">
        <w:t xml:space="preserve"> in future years</w:t>
      </w:r>
      <w:r w:rsidR="00435C4E">
        <w:t>.</w:t>
      </w:r>
      <w:r>
        <w:t xml:space="preserve">  Members have now request</w:t>
      </w:r>
      <w:r w:rsidR="00790865">
        <w:t xml:space="preserve">ed that the expenditure deadline </w:t>
      </w:r>
      <w:r w:rsidR="00330867">
        <w:t>be extended in</w:t>
      </w:r>
      <w:r w:rsidR="00790865">
        <w:t xml:space="preserve"> certain </w:t>
      </w:r>
      <w:r w:rsidR="00330867">
        <w:t>circumstances</w:t>
      </w:r>
      <w:r w:rsidR="003109C4">
        <w:t xml:space="preserve"> and therefore some or all of those identified member ward CIL allocations for a year can be rolled forward for use in future financial years.</w:t>
      </w:r>
    </w:p>
    <w:p w:rsidR="00E87F7A" w:rsidRDefault="00C744FC" w:rsidP="006E128A">
      <w:pPr>
        <w:pStyle w:val="ListParagraph"/>
        <w:numPr>
          <w:ilvl w:val="0"/>
          <w:numId w:val="0"/>
        </w:numPr>
        <w:ind w:left="360"/>
      </w:pPr>
      <w:r>
        <w:lastRenderedPageBreak/>
        <w:t xml:space="preserve">  </w:t>
      </w:r>
    </w:p>
    <w:p w:rsidR="00CD224F" w:rsidRPr="00CD224F" w:rsidRDefault="00CD224F" w:rsidP="00CD224F">
      <w:pPr>
        <w:pStyle w:val="bParagraphtext"/>
        <w:numPr>
          <w:ilvl w:val="0"/>
          <w:numId w:val="0"/>
        </w:numPr>
        <w:ind w:left="426" w:hanging="426"/>
        <w:rPr>
          <w:b/>
        </w:rPr>
      </w:pPr>
      <w:r w:rsidRPr="00CD224F">
        <w:rPr>
          <w:b/>
        </w:rPr>
        <w:t xml:space="preserve">The Neighbourhood Portion of CIL </w:t>
      </w:r>
      <w:r w:rsidR="00BE4F9A">
        <w:rPr>
          <w:b/>
        </w:rPr>
        <w:t>– carry forward</w:t>
      </w:r>
    </w:p>
    <w:p w:rsidR="004347C1" w:rsidRDefault="004347C1" w:rsidP="00941003">
      <w:pPr>
        <w:pStyle w:val="bParagraphtext"/>
      </w:pPr>
      <w:r>
        <w:t>It was agreed that the Neighbourhood portion of CI</w:t>
      </w:r>
      <w:r w:rsidR="00555D6A">
        <w:t>L</w:t>
      </w:r>
      <w:r>
        <w:t xml:space="preserve"> funds paid to non parished wards annually would need to </w:t>
      </w:r>
      <w:r w:rsidR="00555D6A">
        <w:t xml:space="preserve">be </w:t>
      </w:r>
      <w:r>
        <w:t>spent within the financial year.  Any unspent fund would be paid back to the general Neighbourhood fund to be used in future years</w:t>
      </w:r>
      <w:r w:rsidR="003A1A91">
        <w:t xml:space="preserve"> by the City Council</w:t>
      </w:r>
      <w:r>
        <w:t>.</w:t>
      </w:r>
    </w:p>
    <w:p w:rsidR="004F76E2" w:rsidRDefault="00941003" w:rsidP="0076780C">
      <w:pPr>
        <w:pStyle w:val="bParagraphtext"/>
      </w:pPr>
      <w:r w:rsidRPr="00941003">
        <w:t>Members have asked for this report to amend what was agreed at CEB in May 2016.</w:t>
      </w:r>
      <w:r w:rsidR="003A1A91">
        <w:t xml:space="preserve">  It is suggested that the funds </w:t>
      </w:r>
      <w:r w:rsidR="0033774A">
        <w:t>allocated this financial year (2016/17)</w:t>
      </w:r>
      <w:r w:rsidR="003A1A91">
        <w:t xml:space="preserve"> be rolled forward</w:t>
      </w:r>
      <w:r w:rsidR="0033774A">
        <w:t xml:space="preserve"> to next </w:t>
      </w:r>
      <w:r w:rsidR="00191DBC">
        <w:t>financial y</w:t>
      </w:r>
      <w:r w:rsidR="0033774A">
        <w:t>ear</w:t>
      </w:r>
      <w:r w:rsidR="00191DBC">
        <w:t xml:space="preserve"> (2017/18)</w:t>
      </w:r>
      <w:r w:rsidR="0033774A">
        <w:t>.  However, for</w:t>
      </w:r>
      <w:r w:rsidR="00330867">
        <w:t xml:space="preserve"> future years</w:t>
      </w:r>
      <w:r w:rsidR="00191DBC">
        <w:t xml:space="preserve"> the money will only be rolled forward for </w:t>
      </w:r>
      <w:r w:rsidR="003A1A91">
        <w:t>schemes that may be implemented over more than one year or for schemes that are in the budget report</w:t>
      </w:r>
      <w:r w:rsidR="00191DBC">
        <w:t xml:space="preserve">.  </w:t>
      </w:r>
      <w:r w:rsidR="004F76E2">
        <w:t xml:space="preserve"> 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4F6D7A" w:rsidRDefault="00330867" w:rsidP="00673530">
      <w:pPr>
        <w:pStyle w:val="ListParagraph"/>
      </w:pPr>
      <w:r>
        <w:t>Financial issues are covered above</w:t>
      </w:r>
      <w:r w:rsidR="004F6D7A">
        <w:t>.</w:t>
      </w:r>
    </w:p>
    <w:p w:rsidR="004F6D7A" w:rsidRPr="00673530" w:rsidRDefault="004F6D7A" w:rsidP="004F6D7A">
      <w:pPr>
        <w:pStyle w:val="ListParagraph"/>
        <w:numPr>
          <w:ilvl w:val="0"/>
          <w:numId w:val="0"/>
        </w:numPr>
        <w:ind w:left="360"/>
      </w:pPr>
    </w:p>
    <w:p w:rsidR="00CD1F3C" w:rsidRPr="003A1A91" w:rsidRDefault="003A1A91" w:rsidP="003A1A91">
      <w:pPr>
        <w:rPr>
          <w:b/>
        </w:rPr>
      </w:pPr>
      <w:r w:rsidRPr="003A1A91">
        <w:rPr>
          <w:b/>
        </w:rPr>
        <w:t>Legal Issues</w:t>
      </w:r>
    </w:p>
    <w:p w:rsidR="00E87F7A" w:rsidRPr="001356F1" w:rsidRDefault="00E751BB" w:rsidP="00AF517A">
      <w:pPr>
        <w:pStyle w:val="ListParagraph"/>
      </w:pPr>
      <w:r>
        <w:t xml:space="preserve"> </w:t>
      </w:r>
      <w:r w:rsidR="00AF517A" w:rsidRPr="00AF517A">
        <w:t>There are no legal implications beyond those addressed in the previous report</w:t>
      </w:r>
      <w:r w:rsidR="00AF517A">
        <w:t>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155FEB" w:rsidRPr="00155FEB" w:rsidRDefault="00155FEB" w:rsidP="00155FEB">
      <w:pPr>
        <w:pStyle w:val="ListParagraph"/>
      </w:pPr>
      <w:r w:rsidRPr="00155FEB">
        <w:t xml:space="preserve">A risk assessment has been undertaken (Appendix </w:t>
      </w:r>
      <w:r w:rsidR="006E128A">
        <w:t>1</w:t>
      </w:r>
      <w:r w:rsidRPr="00155FEB">
        <w:t xml:space="preserve">).  All risks have been mitigated to an acceptable level. 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155FEB" w:rsidRPr="00155FEB" w:rsidRDefault="00155FEB" w:rsidP="00155FEB">
      <w:pPr>
        <w:pStyle w:val="ListParagraph"/>
      </w:pPr>
      <w:r w:rsidRPr="00155FEB">
        <w:t xml:space="preserve">There are no equalities impacts arising from this report. 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r>
              <w:t>Lorraine Freeman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r>
              <w:t>Developer Funding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r>
              <w:t>Planning &amp; Regulatory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1B5EA4">
            <w:r w:rsidRPr="001356F1">
              <w:t xml:space="preserve">01865 </w:t>
            </w:r>
            <w:r w:rsidR="001B5EA4">
              <w:t>252178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B5EA4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lfreeman@oxford.gov.uk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sectPr w:rsidR="00CE4C87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E8" w:rsidRDefault="00EE0BE8" w:rsidP="004A6D2F">
      <w:r>
        <w:separator/>
      </w:r>
    </w:p>
  </w:endnote>
  <w:endnote w:type="continuationSeparator" w:id="0">
    <w:p w:rsidR="00EE0BE8" w:rsidRDefault="00EE0BE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F" w:rsidRDefault="003D2CAF" w:rsidP="004A6D2F">
    <w:pPr>
      <w:pStyle w:val="Footer"/>
    </w:pPr>
    <w:r>
      <w:t>Do not use a footer or page numbers.</w:t>
    </w:r>
  </w:p>
  <w:p w:rsidR="003D2CAF" w:rsidRDefault="003D2CAF" w:rsidP="004A6D2F">
    <w:pPr>
      <w:pStyle w:val="Footer"/>
    </w:pPr>
  </w:p>
  <w:p w:rsidR="003D2CAF" w:rsidRDefault="003D2CAF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F" w:rsidRDefault="003D2CAF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E8" w:rsidRDefault="00EE0BE8" w:rsidP="004A6D2F">
      <w:r>
        <w:separator/>
      </w:r>
    </w:p>
  </w:footnote>
  <w:footnote w:type="continuationSeparator" w:id="0">
    <w:p w:rsidR="00EE0BE8" w:rsidRDefault="00EE0BE8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F" w:rsidRDefault="00206110" w:rsidP="00D5547E">
    <w:pPr>
      <w:pStyle w:val="Header"/>
      <w:jc w:val="right"/>
    </w:pPr>
    <w:r>
      <w:rPr>
        <w:noProof/>
      </w:rPr>
      <w:drawing>
        <wp:inline distT="0" distB="0" distL="0" distR="0" wp14:anchorId="25D7FF7A" wp14:editId="6A70ADB4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6AA6E9B"/>
    <w:multiLevelType w:val="hybridMultilevel"/>
    <w:tmpl w:val="03F64FE0"/>
    <w:lvl w:ilvl="0" w:tplc="376E0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721B7"/>
    <w:multiLevelType w:val="hybridMultilevel"/>
    <w:tmpl w:val="2B828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B40AC"/>
    <w:multiLevelType w:val="hybridMultilevel"/>
    <w:tmpl w:val="9A5A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365C6"/>
    <w:multiLevelType w:val="multilevel"/>
    <w:tmpl w:val="E67CE66C"/>
    <w:numStyleLink w:val="StyleNumberedLeft0cmHanging075cm"/>
  </w:abstractNum>
  <w:num w:numId="1">
    <w:abstractNumId w:val="27"/>
  </w:num>
  <w:num w:numId="2">
    <w:abstractNumId w:val="32"/>
  </w:num>
  <w:num w:numId="3">
    <w:abstractNumId w:val="24"/>
  </w:num>
  <w:num w:numId="4">
    <w:abstractNumId w:val="19"/>
  </w:num>
  <w:num w:numId="5">
    <w:abstractNumId w:val="29"/>
  </w:num>
  <w:num w:numId="6">
    <w:abstractNumId w:val="34"/>
  </w:num>
  <w:num w:numId="7">
    <w:abstractNumId w:val="23"/>
  </w:num>
  <w:num w:numId="8">
    <w:abstractNumId w:val="20"/>
  </w:num>
  <w:num w:numId="9">
    <w:abstractNumId w:val="13"/>
  </w:num>
  <w:num w:numId="10">
    <w:abstractNumId w:val="15"/>
  </w:num>
  <w:num w:numId="11">
    <w:abstractNumId w:val="26"/>
  </w:num>
  <w:num w:numId="12">
    <w:abstractNumId w:val="25"/>
  </w:num>
  <w:num w:numId="13">
    <w:abstractNumId w:val="10"/>
  </w:num>
  <w:num w:numId="14">
    <w:abstractNumId w:val="35"/>
  </w:num>
  <w:num w:numId="15">
    <w:abstractNumId w:val="16"/>
  </w:num>
  <w:num w:numId="16">
    <w:abstractNumId w:val="11"/>
  </w:num>
  <w:num w:numId="17">
    <w:abstractNumId w:val="28"/>
  </w:num>
  <w:num w:numId="18">
    <w:abstractNumId w:val="12"/>
  </w:num>
  <w:num w:numId="19">
    <w:abstractNumId w:val="30"/>
  </w:num>
  <w:num w:numId="20">
    <w:abstractNumId w:val="17"/>
  </w:num>
  <w:num w:numId="21">
    <w:abstractNumId w:val="22"/>
  </w:num>
  <w:num w:numId="22">
    <w:abstractNumId w:val="14"/>
  </w:num>
  <w:num w:numId="23">
    <w:abstractNumId w:val="3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33"/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EA"/>
    <w:rsid w:val="00004689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11E7"/>
    <w:rsid w:val="000C089F"/>
    <w:rsid w:val="000C3928"/>
    <w:rsid w:val="000C5708"/>
    <w:rsid w:val="000C5E8E"/>
    <w:rsid w:val="000F4113"/>
    <w:rsid w:val="000F4751"/>
    <w:rsid w:val="000F7B4B"/>
    <w:rsid w:val="0010524C"/>
    <w:rsid w:val="00111FB1"/>
    <w:rsid w:val="00113418"/>
    <w:rsid w:val="00131924"/>
    <w:rsid w:val="001356F1"/>
    <w:rsid w:val="00136994"/>
    <w:rsid w:val="0014128E"/>
    <w:rsid w:val="00151888"/>
    <w:rsid w:val="00155FEB"/>
    <w:rsid w:val="00165365"/>
    <w:rsid w:val="00170A2D"/>
    <w:rsid w:val="001808BC"/>
    <w:rsid w:val="00182B81"/>
    <w:rsid w:val="0018619D"/>
    <w:rsid w:val="00191DBC"/>
    <w:rsid w:val="001A011E"/>
    <w:rsid w:val="001A066A"/>
    <w:rsid w:val="001A13E6"/>
    <w:rsid w:val="001A5731"/>
    <w:rsid w:val="001B42C3"/>
    <w:rsid w:val="001B5EA4"/>
    <w:rsid w:val="001C459A"/>
    <w:rsid w:val="001C5D5E"/>
    <w:rsid w:val="001D209A"/>
    <w:rsid w:val="001D678D"/>
    <w:rsid w:val="001E03F8"/>
    <w:rsid w:val="001E1678"/>
    <w:rsid w:val="001E3376"/>
    <w:rsid w:val="00206110"/>
    <w:rsid w:val="002069B3"/>
    <w:rsid w:val="0021506A"/>
    <w:rsid w:val="002200CF"/>
    <w:rsid w:val="002329CF"/>
    <w:rsid w:val="00232F5B"/>
    <w:rsid w:val="00247C29"/>
    <w:rsid w:val="00260467"/>
    <w:rsid w:val="00261FF1"/>
    <w:rsid w:val="00263EA3"/>
    <w:rsid w:val="00276180"/>
    <w:rsid w:val="00281BC7"/>
    <w:rsid w:val="00284F85"/>
    <w:rsid w:val="00290915"/>
    <w:rsid w:val="00296DEF"/>
    <w:rsid w:val="002A22E2"/>
    <w:rsid w:val="002B2FBE"/>
    <w:rsid w:val="002B77FC"/>
    <w:rsid w:val="002C369C"/>
    <w:rsid w:val="002C64F7"/>
    <w:rsid w:val="002F41F2"/>
    <w:rsid w:val="00301BF3"/>
    <w:rsid w:val="0030208D"/>
    <w:rsid w:val="003109C4"/>
    <w:rsid w:val="00312BF8"/>
    <w:rsid w:val="00322354"/>
    <w:rsid w:val="00323418"/>
    <w:rsid w:val="003248E3"/>
    <w:rsid w:val="00330867"/>
    <w:rsid w:val="003357BF"/>
    <w:rsid w:val="0033774A"/>
    <w:rsid w:val="003401A4"/>
    <w:rsid w:val="00350641"/>
    <w:rsid w:val="00364FAD"/>
    <w:rsid w:val="0036738F"/>
    <w:rsid w:val="0036759C"/>
    <w:rsid w:val="00367AE5"/>
    <w:rsid w:val="00367D71"/>
    <w:rsid w:val="00370FA9"/>
    <w:rsid w:val="00372D4A"/>
    <w:rsid w:val="00377856"/>
    <w:rsid w:val="0038150A"/>
    <w:rsid w:val="00385ED3"/>
    <w:rsid w:val="003A1A91"/>
    <w:rsid w:val="003B6E75"/>
    <w:rsid w:val="003B7DA1"/>
    <w:rsid w:val="003C1C97"/>
    <w:rsid w:val="003C5321"/>
    <w:rsid w:val="003D0379"/>
    <w:rsid w:val="003D2574"/>
    <w:rsid w:val="003D2CAF"/>
    <w:rsid w:val="003D4C59"/>
    <w:rsid w:val="003F4267"/>
    <w:rsid w:val="003F74EA"/>
    <w:rsid w:val="00404032"/>
    <w:rsid w:val="0040736F"/>
    <w:rsid w:val="00412C1F"/>
    <w:rsid w:val="00421CB2"/>
    <w:rsid w:val="00425270"/>
    <w:rsid w:val="004268B9"/>
    <w:rsid w:val="0043381C"/>
    <w:rsid w:val="00433B96"/>
    <w:rsid w:val="004347C1"/>
    <w:rsid w:val="00435C4E"/>
    <w:rsid w:val="004440F1"/>
    <w:rsid w:val="004456DD"/>
    <w:rsid w:val="00446CDF"/>
    <w:rsid w:val="004521B7"/>
    <w:rsid w:val="00453DA4"/>
    <w:rsid w:val="004568DF"/>
    <w:rsid w:val="00462AB5"/>
    <w:rsid w:val="00465EAF"/>
    <w:rsid w:val="00467365"/>
    <w:rsid w:val="004738C5"/>
    <w:rsid w:val="0048737A"/>
    <w:rsid w:val="004907BC"/>
    <w:rsid w:val="00491046"/>
    <w:rsid w:val="00493C53"/>
    <w:rsid w:val="004A2AC7"/>
    <w:rsid w:val="004A6D2F"/>
    <w:rsid w:val="004B3502"/>
    <w:rsid w:val="004C2887"/>
    <w:rsid w:val="004D2626"/>
    <w:rsid w:val="004D6E26"/>
    <w:rsid w:val="004D77D3"/>
    <w:rsid w:val="004E2959"/>
    <w:rsid w:val="004E4E3C"/>
    <w:rsid w:val="004F20EF"/>
    <w:rsid w:val="004F6D7A"/>
    <w:rsid w:val="004F76E2"/>
    <w:rsid w:val="004F7B00"/>
    <w:rsid w:val="0050321C"/>
    <w:rsid w:val="00534202"/>
    <w:rsid w:val="00542453"/>
    <w:rsid w:val="0054712D"/>
    <w:rsid w:val="00547EF6"/>
    <w:rsid w:val="00555D6A"/>
    <w:rsid w:val="005570B5"/>
    <w:rsid w:val="00567E18"/>
    <w:rsid w:val="00575F5F"/>
    <w:rsid w:val="0057739D"/>
    <w:rsid w:val="00581805"/>
    <w:rsid w:val="00585F76"/>
    <w:rsid w:val="005A00F2"/>
    <w:rsid w:val="005A34E4"/>
    <w:rsid w:val="005B17F2"/>
    <w:rsid w:val="005B5785"/>
    <w:rsid w:val="005B7FB0"/>
    <w:rsid w:val="005C35A5"/>
    <w:rsid w:val="005C577C"/>
    <w:rsid w:val="005D0621"/>
    <w:rsid w:val="005D1E27"/>
    <w:rsid w:val="005D2A3E"/>
    <w:rsid w:val="005E022E"/>
    <w:rsid w:val="005E5215"/>
    <w:rsid w:val="005E5551"/>
    <w:rsid w:val="005F448D"/>
    <w:rsid w:val="005F7F7E"/>
    <w:rsid w:val="00614693"/>
    <w:rsid w:val="00623C2F"/>
    <w:rsid w:val="00623D47"/>
    <w:rsid w:val="00633578"/>
    <w:rsid w:val="00637068"/>
    <w:rsid w:val="00650811"/>
    <w:rsid w:val="00651C7A"/>
    <w:rsid w:val="00661D3E"/>
    <w:rsid w:val="00673530"/>
    <w:rsid w:val="00692627"/>
    <w:rsid w:val="006969E7"/>
    <w:rsid w:val="006976D6"/>
    <w:rsid w:val="006A3643"/>
    <w:rsid w:val="006A7E73"/>
    <w:rsid w:val="006C2A29"/>
    <w:rsid w:val="006C3482"/>
    <w:rsid w:val="006C64CF"/>
    <w:rsid w:val="006D17B1"/>
    <w:rsid w:val="006D4752"/>
    <w:rsid w:val="006D708A"/>
    <w:rsid w:val="006E128A"/>
    <w:rsid w:val="006E14C1"/>
    <w:rsid w:val="006F0292"/>
    <w:rsid w:val="006F27FA"/>
    <w:rsid w:val="006F416B"/>
    <w:rsid w:val="006F519B"/>
    <w:rsid w:val="00705053"/>
    <w:rsid w:val="00705D0B"/>
    <w:rsid w:val="00711FFC"/>
    <w:rsid w:val="00713675"/>
    <w:rsid w:val="00715823"/>
    <w:rsid w:val="00737B93"/>
    <w:rsid w:val="00745BF0"/>
    <w:rsid w:val="007479FA"/>
    <w:rsid w:val="007615FE"/>
    <w:rsid w:val="0076655C"/>
    <w:rsid w:val="0076780C"/>
    <w:rsid w:val="007742DC"/>
    <w:rsid w:val="00790865"/>
    <w:rsid w:val="00791437"/>
    <w:rsid w:val="007B0C2C"/>
    <w:rsid w:val="007B278E"/>
    <w:rsid w:val="007C5C23"/>
    <w:rsid w:val="007C7640"/>
    <w:rsid w:val="007E07BD"/>
    <w:rsid w:val="007E2A26"/>
    <w:rsid w:val="007F2348"/>
    <w:rsid w:val="00803F07"/>
    <w:rsid w:val="0080749A"/>
    <w:rsid w:val="00821FB8"/>
    <w:rsid w:val="00822ACD"/>
    <w:rsid w:val="00833B94"/>
    <w:rsid w:val="008352C7"/>
    <w:rsid w:val="00835736"/>
    <w:rsid w:val="008443B4"/>
    <w:rsid w:val="00855C66"/>
    <w:rsid w:val="00864930"/>
    <w:rsid w:val="00871EE4"/>
    <w:rsid w:val="00872867"/>
    <w:rsid w:val="00874073"/>
    <w:rsid w:val="00894C63"/>
    <w:rsid w:val="008B293F"/>
    <w:rsid w:val="008B7371"/>
    <w:rsid w:val="008C77AB"/>
    <w:rsid w:val="008D3DDB"/>
    <w:rsid w:val="008F573F"/>
    <w:rsid w:val="00902133"/>
    <w:rsid w:val="009034EC"/>
    <w:rsid w:val="009070B5"/>
    <w:rsid w:val="00917018"/>
    <w:rsid w:val="00924C64"/>
    <w:rsid w:val="0093067A"/>
    <w:rsid w:val="00941003"/>
    <w:rsid w:val="00941C60"/>
    <w:rsid w:val="00964B96"/>
    <w:rsid w:val="00966D42"/>
    <w:rsid w:val="0097128B"/>
    <w:rsid w:val="00971689"/>
    <w:rsid w:val="00973E90"/>
    <w:rsid w:val="00975B07"/>
    <w:rsid w:val="00980B4A"/>
    <w:rsid w:val="009B62BF"/>
    <w:rsid w:val="009E3D0A"/>
    <w:rsid w:val="009E51FC"/>
    <w:rsid w:val="009F1706"/>
    <w:rsid w:val="009F1D28"/>
    <w:rsid w:val="009F7618"/>
    <w:rsid w:val="00A04D23"/>
    <w:rsid w:val="00A06766"/>
    <w:rsid w:val="00A07921"/>
    <w:rsid w:val="00A13765"/>
    <w:rsid w:val="00A21B12"/>
    <w:rsid w:val="00A23F80"/>
    <w:rsid w:val="00A335F1"/>
    <w:rsid w:val="00A46E98"/>
    <w:rsid w:val="00A6352B"/>
    <w:rsid w:val="00A65046"/>
    <w:rsid w:val="00A701B5"/>
    <w:rsid w:val="00A714BB"/>
    <w:rsid w:val="00A718B7"/>
    <w:rsid w:val="00A8647B"/>
    <w:rsid w:val="00A92D8F"/>
    <w:rsid w:val="00AB2988"/>
    <w:rsid w:val="00AB3D37"/>
    <w:rsid w:val="00AB7999"/>
    <w:rsid w:val="00AD2FE5"/>
    <w:rsid w:val="00AD3292"/>
    <w:rsid w:val="00AE7AF0"/>
    <w:rsid w:val="00AF517A"/>
    <w:rsid w:val="00B232B0"/>
    <w:rsid w:val="00B25822"/>
    <w:rsid w:val="00B278A7"/>
    <w:rsid w:val="00B42C57"/>
    <w:rsid w:val="00B500CA"/>
    <w:rsid w:val="00B82B7A"/>
    <w:rsid w:val="00B82FE6"/>
    <w:rsid w:val="00B8501D"/>
    <w:rsid w:val="00B86314"/>
    <w:rsid w:val="00B868B8"/>
    <w:rsid w:val="00B9139E"/>
    <w:rsid w:val="00BA0AD8"/>
    <w:rsid w:val="00BA1C2E"/>
    <w:rsid w:val="00BC200B"/>
    <w:rsid w:val="00BC4756"/>
    <w:rsid w:val="00BC69A4"/>
    <w:rsid w:val="00BE0680"/>
    <w:rsid w:val="00BE305F"/>
    <w:rsid w:val="00BE4F9A"/>
    <w:rsid w:val="00BE7BA3"/>
    <w:rsid w:val="00BF5682"/>
    <w:rsid w:val="00BF7B09"/>
    <w:rsid w:val="00C20A95"/>
    <w:rsid w:val="00C25FF4"/>
    <w:rsid w:val="00C2692F"/>
    <w:rsid w:val="00C3207C"/>
    <w:rsid w:val="00C400E1"/>
    <w:rsid w:val="00C41187"/>
    <w:rsid w:val="00C62C1B"/>
    <w:rsid w:val="00C63C31"/>
    <w:rsid w:val="00C744FC"/>
    <w:rsid w:val="00C757A0"/>
    <w:rsid w:val="00C760DE"/>
    <w:rsid w:val="00C82630"/>
    <w:rsid w:val="00C8497B"/>
    <w:rsid w:val="00C85B4E"/>
    <w:rsid w:val="00C9079F"/>
    <w:rsid w:val="00C907F7"/>
    <w:rsid w:val="00CA2103"/>
    <w:rsid w:val="00CA6D7B"/>
    <w:rsid w:val="00CB6B99"/>
    <w:rsid w:val="00CC74FB"/>
    <w:rsid w:val="00CD1F3C"/>
    <w:rsid w:val="00CD224F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0E42"/>
    <w:rsid w:val="00D869A1"/>
    <w:rsid w:val="00DA413F"/>
    <w:rsid w:val="00DA4584"/>
    <w:rsid w:val="00DA4F30"/>
    <w:rsid w:val="00DA614B"/>
    <w:rsid w:val="00DC3060"/>
    <w:rsid w:val="00DD7E79"/>
    <w:rsid w:val="00DE0FB2"/>
    <w:rsid w:val="00DE68C6"/>
    <w:rsid w:val="00DF093E"/>
    <w:rsid w:val="00DF0C35"/>
    <w:rsid w:val="00E01F42"/>
    <w:rsid w:val="00E02CAC"/>
    <w:rsid w:val="00E03711"/>
    <w:rsid w:val="00E206D6"/>
    <w:rsid w:val="00E24748"/>
    <w:rsid w:val="00E3366E"/>
    <w:rsid w:val="00E52086"/>
    <w:rsid w:val="00E543A6"/>
    <w:rsid w:val="00E60479"/>
    <w:rsid w:val="00E61D73"/>
    <w:rsid w:val="00E72D53"/>
    <w:rsid w:val="00E73684"/>
    <w:rsid w:val="00E751BB"/>
    <w:rsid w:val="00E818D6"/>
    <w:rsid w:val="00E85482"/>
    <w:rsid w:val="00E87F7A"/>
    <w:rsid w:val="00E96BD7"/>
    <w:rsid w:val="00EA0DB1"/>
    <w:rsid w:val="00EA0EE9"/>
    <w:rsid w:val="00EB746C"/>
    <w:rsid w:val="00ED52CA"/>
    <w:rsid w:val="00ED5860"/>
    <w:rsid w:val="00ED6F02"/>
    <w:rsid w:val="00EE0BE8"/>
    <w:rsid w:val="00EE35C9"/>
    <w:rsid w:val="00F05ECA"/>
    <w:rsid w:val="00F10192"/>
    <w:rsid w:val="00F3566E"/>
    <w:rsid w:val="00F375FB"/>
    <w:rsid w:val="00F41AC1"/>
    <w:rsid w:val="00F4367A"/>
    <w:rsid w:val="00F445B1"/>
    <w:rsid w:val="00F45CD4"/>
    <w:rsid w:val="00F4659A"/>
    <w:rsid w:val="00F66DCA"/>
    <w:rsid w:val="00F74F53"/>
    <w:rsid w:val="00F7606D"/>
    <w:rsid w:val="00F809A9"/>
    <w:rsid w:val="00F81670"/>
    <w:rsid w:val="00F82024"/>
    <w:rsid w:val="00F95BC9"/>
    <w:rsid w:val="00FA624C"/>
    <w:rsid w:val="00FB567E"/>
    <w:rsid w:val="00FC5AE1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00CF"/>
  </w:style>
  <w:style w:type="character" w:styleId="Strong">
    <w:name w:val="Strong"/>
    <w:basedOn w:val="DefaultParagraphFont"/>
    <w:uiPriority w:val="22"/>
    <w:qFormat/>
    <w:rsid w:val="00220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00CF"/>
  </w:style>
  <w:style w:type="character" w:styleId="Strong">
    <w:name w:val="Strong"/>
    <w:basedOn w:val="DefaultParagraphFont"/>
    <w:uiPriority w:val="22"/>
    <w:qFormat/>
    <w:rsid w:val="0022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5347-F08F-4294-9FC0-A49EB8D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813D1C19</Template>
  <TotalTime>34</TotalTime>
  <Pages>2</Pages>
  <Words>424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Michael.Morgan</dc:creator>
  <cp:lastModifiedBy>sclaridge</cp:lastModifiedBy>
  <cp:revision>4</cp:revision>
  <cp:lastPrinted>2016-12-15T12:00:00Z</cp:lastPrinted>
  <dcterms:created xsi:type="dcterms:W3CDTF">2017-01-05T14:29:00Z</dcterms:created>
  <dcterms:modified xsi:type="dcterms:W3CDTF">2017-01-23T17:14:00Z</dcterms:modified>
</cp:coreProperties>
</file>